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D2" w:rsidRPr="00B10239" w:rsidRDefault="00662DD2" w:rsidP="00662DD2">
      <w:pPr>
        <w:pStyle w:val="Heading1"/>
      </w:pPr>
      <w:r w:rsidRPr="00B10239">
        <w:t>GUANIDINE SULFATE    CAS # 594149</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S</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PHYSICAL CHARACTERISTICS</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PHYSICAL STATE:  Solid</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SEGREGATION: SHELF # 2</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STORAGE GROUP(S):</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WASTE CHARACTERISTIC HAZARD:</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662DD2" w:rsidRPr="00B10239" w:rsidRDefault="00662DD2" w:rsidP="00662DD2">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REACTIVE PROPERTIES</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STORAGE    </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GLOBALLY HARMONIZED SYSTEM OF CLASSIFICATION</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EU ADDITIONAL CLASSIFICATION</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S: 22 24/25</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662DD2" w:rsidRPr="00B10239" w:rsidRDefault="00662DD2" w:rsidP="00662DD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662DD2" w:rsidRPr="00B10239" w:rsidRDefault="00662DD2" w:rsidP="00662DD2">
      <w:pPr>
        <w:pStyle w:val="PlainText"/>
        <w:rPr>
          <w:rFonts w:ascii="Courier New" w:hAnsi="Courier New" w:cs="Courier New"/>
          <w:sz w:val="20"/>
        </w:rPr>
      </w:pPr>
    </w:p>
    <w:p w:rsidR="00662DD2" w:rsidRPr="00B10239" w:rsidRDefault="00662DD2" w:rsidP="00662DD2">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DD2"/>
    <w:rsid w:val="00662DD2"/>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62DD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DD2"/>
    <w:rPr>
      <w:rFonts w:ascii="Courier New" w:eastAsia="Times New Roman" w:hAnsi="Courier New" w:cs="Times New Roman"/>
      <w:b/>
      <w:bCs/>
      <w:sz w:val="20"/>
      <w:szCs w:val="28"/>
    </w:rPr>
  </w:style>
  <w:style w:type="paragraph" w:styleId="NoSpacing">
    <w:name w:val="No Spacing"/>
    <w:autoRedefine/>
    <w:uiPriority w:val="1"/>
    <w:qFormat/>
    <w:rsid w:val="00662DD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62D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62DD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62DD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DD2"/>
    <w:rPr>
      <w:rFonts w:ascii="Courier New" w:eastAsia="Times New Roman" w:hAnsi="Courier New" w:cs="Times New Roman"/>
      <w:b/>
      <w:bCs/>
      <w:sz w:val="20"/>
      <w:szCs w:val="28"/>
    </w:rPr>
  </w:style>
  <w:style w:type="paragraph" w:styleId="NoSpacing">
    <w:name w:val="No Spacing"/>
    <w:autoRedefine/>
    <w:uiPriority w:val="1"/>
    <w:qFormat/>
    <w:rsid w:val="00662DD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62D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62DD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