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9B5" w:rsidRPr="00D65440" w:rsidRDefault="003149B5" w:rsidP="003149B5">
      <w:pPr>
        <w:pStyle w:val="Heading1"/>
      </w:pPr>
      <w:r w:rsidRPr="00D65440">
        <w:t>AMMONIUM SULFIDE    CAS # 12135761</w:t>
      </w:r>
    </w:p>
    <w:p w:rsidR="003149B5" w:rsidRPr="00D65440" w:rsidRDefault="003149B5" w:rsidP="003149B5">
      <w:pPr>
        <w:pStyle w:val="PlainText"/>
        <w:rPr>
          <w:rFonts w:ascii="Courier New" w:hAnsi="Courier New" w:cs="Courier New"/>
          <w:sz w:val="20"/>
          <w:szCs w:val="20"/>
        </w:rPr>
      </w:pP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3149B5" w:rsidRPr="00D65440" w:rsidRDefault="003149B5" w:rsidP="003149B5">
      <w:pPr>
        <w:pStyle w:val="PlainText"/>
        <w:rPr>
          <w:rFonts w:ascii="Courier New" w:hAnsi="Courier New" w:cs="Courier New"/>
          <w:sz w:val="20"/>
          <w:szCs w:val="20"/>
        </w:rPr>
      </w:pP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HAZARD INDEX    .   .   .   D   E   .   .   .   .   J   K   .</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3   0      </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3.8 - LD50    80.0 mg/Kg</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4.7 - LC50         </w:t>
      </w:r>
    </w:p>
    <w:p w:rsidR="003149B5" w:rsidRPr="00D65440" w:rsidRDefault="003149B5" w:rsidP="003149B5">
      <w:pPr>
        <w:pStyle w:val="PlainText"/>
        <w:rPr>
          <w:rFonts w:ascii="Courier New" w:hAnsi="Courier New" w:cs="Courier New"/>
          <w:sz w:val="20"/>
          <w:szCs w:val="20"/>
        </w:rPr>
      </w:pP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ROUTE OF EXPOSURE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Readily absorbed through skin.</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the mucous membranes and upper respiratory tract. May be harmful</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if inhaled.</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Hydrogen sulfide is recognized by its characteristic odor of</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"rotten eggs". The detectable, minimum perceptible odor occurs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at 0.13ppm. At concentrations of 20ppm hydrogen sulfide begins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acting as an irritant on the mucous membranes of the eyes and</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respiratory tract and increases with concentration and exposure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time. The irritant action and odor of rotten eggs often provides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the first warning of hydrogen sulfide exposure. Unfortunately,</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above 150ppm the gas exerts a paralyzing effect on the olfactory</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apparatus. Prolonged exposure to moderate concentrations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(250ppm) may cause pulmonary edema. At concentrations over</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500ppm, drowsiness, dizziness, excitement, headache, unstable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gait, and other systemic symptoms occur within a few minutes.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Sudden loss of consciousness without premonition, anxiety, or</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sense of struggle are characteristic of acute exposure at</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concentrations above 700ppm. At concentrations of 1000-2000ppm</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hydrogen sulfide is rapidly absorbed through the lung into the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blood. Initially hyperpnea occurs, followed by rapid collapse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and respiratory inhibition. At higher concentrations, hydrogen</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sulfide exerts an immediate paralyzing effect on the respiratory</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centers. When concentration reaches 5000ppm, imminent death</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almost always results. Generally speaking, imminent death due to</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asphyxia can happen at any time when the concentration reaches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1000ppm or more. Symptoms of exposure may include burning</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sensation, coughing, wheezing, laryngitis, shortness of breath,</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headac</w:t>
      </w:r>
    </w:p>
    <w:p w:rsidR="003149B5" w:rsidRPr="00D65440" w:rsidRDefault="003149B5" w:rsidP="003149B5">
      <w:pPr>
        <w:pStyle w:val="PlainText"/>
        <w:rPr>
          <w:rFonts w:ascii="Courier New" w:hAnsi="Courier New" w:cs="Courier New"/>
          <w:sz w:val="20"/>
          <w:szCs w:val="20"/>
        </w:rPr>
      </w:pP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VAPOR PRESSURE  450.0 mm Hg @ 20 °C</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FLASH POINT  68 °F</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Forms ignitable mixtures in air at room temperature - Danger of remote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ignition and flashback</w:t>
      </w:r>
    </w:p>
    <w:p w:rsidR="003149B5" w:rsidRPr="00D65440" w:rsidRDefault="003149B5" w:rsidP="003149B5">
      <w:pPr>
        <w:pStyle w:val="PlainText"/>
        <w:rPr>
          <w:rFonts w:ascii="Courier New" w:hAnsi="Courier New" w:cs="Courier New"/>
          <w:sz w:val="20"/>
          <w:szCs w:val="20"/>
        </w:rPr>
      </w:pP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STORAGE GROUP(S):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3149B5" w:rsidRPr="00D65440" w:rsidRDefault="003149B5" w:rsidP="003149B5">
      <w:pPr>
        <w:pStyle w:val="PlainText"/>
        <w:rPr>
          <w:rFonts w:ascii="Courier New" w:hAnsi="Courier New" w:cs="Courier New"/>
          <w:sz w:val="20"/>
          <w:szCs w:val="20"/>
        </w:rPr>
      </w:pP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INCOMPATIBILITIES:Copper, Zinc, Aluminum, Strong bases, Acids,  Strong</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oxidizing agents.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FIRE EXTINGUISHER:  Water spray. appropriate foam. Dry chemical powder. Use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water spray to cool fire-exposed containers.  Do not use carbon dioxide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extinguisher on this    material.</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 Evolves hydrogen  sulfide which is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poisonous Ammonia</w:t>
      </w:r>
    </w:p>
    <w:p w:rsidR="003149B5" w:rsidRPr="00D65440" w:rsidRDefault="003149B5" w:rsidP="003149B5">
      <w:pPr>
        <w:pStyle w:val="PlainText"/>
        <w:rPr>
          <w:rFonts w:ascii="Courier New" w:hAnsi="Courier New" w:cs="Courier New"/>
          <w:sz w:val="20"/>
          <w:szCs w:val="20"/>
        </w:rPr>
      </w:pP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from heat, sparks, and open flame\. Incompatible Materials: Avoid contact</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with acid\. SPECIAL REQUIREMENTS    Avoid contact with acid.</w:t>
      </w:r>
    </w:p>
    <w:p w:rsidR="003149B5" w:rsidRPr="00D65440" w:rsidRDefault="003149B5" w:rsidP="003149B5">
      <w:pPr>
        <w:pStyle w:val="PlainText"/>
        <w:rPr>
          <w:rFonts w:ascii="Courier New" w:hAnsi="Courier New" w:cs="Courier New"/>
          <w:sz w:val="20"/>
          <w:szCs w:val="20"/>
        </w:rPr>
      </w:pP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Symbol of Danger: F-C-N</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Corrosive. Dangerous for</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the environment.</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R: 11-31-34-50</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Contact with acids liberates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toxic gas. Causes burns. Very toxic to aquatic organisms.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S: 26-36/37/39-45-61</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suitable protective clothing, gloves, and eye/face protection.</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immediately (show the label where possible). Avoid release to</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the environment. Refer to special instructions/safety data</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sheets. </w:t>
      </w:r>
    </w:p>
    <w:p w:rsidR="003149B5" w:rsidRPr="00D65440" w:rsidRDefault="003149B5" w:rsidP="003149B5">
      <w:pPr>
        <w:pStyle w:val="PlainText"/>
        <w:rPr>
          <w:rFonts w:ascii="Courier New" w:hAnsi="Courier New" w:cs="Courier New"/>
          <w:sz w:val="20"/>
          <w:szCs w:val="20"/>
        </w:rPr>
      </w:pP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3.5 ppm</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10 ppm</w:t>
      </w:r>
    </w:p>
    <w:p w:rsidR="003149B5" w:rsidRPr="00D65440" w:rsidRDefault="003149B5" w:rsidP="003149B5">
      <w:pPr>
        <w:pStyle w:val="PlainText"/>
        <w:rPr>
          <w:rFonts w:ascii="Courier New" w:hAnsi="Courier New" w:cs="Courier New"/>
          <w:sz w:val="20"/>
          <w:szCs w:val="20"/>
        </w:rPr>
      </w:pPr>
      <w:r w:rsidRPr="00D65440">
        <w:rPr>
          <w:rFonts w:ascii="Courier New" w:hAnsi="Courier New" w:cs="Courier New"/>
          <w:sz w:val="20"/>
          <w:szCs w:val="20"/>
        </w:rPr>
        <w:t xml:space="preserve">   DOE Ceiling Limit 15 ppm</w:t>
      </w:r>
    </w:p>
    <w:p w:rsidR="003149B5" w:rsidRPr="00D65440" w:rsidRDefault="003149B5" w:rsidP="003149B5">
      <w:pPr>
        <w:pStyle w:val="PlainText"/>
        <w:rPr>
          <w:rFonts w:ascii="Courier New" w:hAnsi="Courier New" w:cs="Courier New"/>
          <w:sz w:val="20"/>
          <w:szCs w:val="20"/>
        </w:rPr>
      </w:pPr>
    </w:p>
    <w:p w:rsidR="003149B5" w:rsidRPr="00D65440" w:rsidRDefault="003149B5" w:rsidP="003149B5">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149B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9B5"/>
    <w:rsid w:val="003149B5"/>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49B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49B5"/>
    <w:rPr>
      <w:rFonts w:ascii="Courier New" w:eastAsiaTheme="majorEastAsia" w:hAnsi="Courier New" w:cstheme="majorBidi"/>
      <w:b/>
      <w:bCs/>
      <w:sz w:val="20"/>
      <w:szCs w:val="28"/>
    </w:rPr>
  </w:style>
  <w:style w:type="paragraph" w:styleId="NoSpacing">
    <w:name w:val="No Spacing"/>
    <w:autoRedefine/>
    <w:uiPriority w:val="1"/>
    <w:qFormat/>
    <w:rsid w:val="003149B5"/>
    <w:pPr>
      <w:spacing w:after="0" w:line="240" w:lineRule="auto"/>
      <w:jc w:val="both"/>
    </w:pPr>
    <w:rPr>
      <w:sz w:val="18"/>
    </w:rPr>
  </w:style>
  <w:style w:type="paragraph" w:styleId="PlainText">
    <w:name w:val="Plain Text"/>
    <w:basedOn w:val="Normal"/>
    <w:link w:val="PlainTextChar"/>
    <w:uiPriority w:val="99"/>
    <w:unhideWhenUsed/>
    <w:rsid w:val="003149B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49B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49B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49B5"/>
    <w:rPr>
      <w:rFonts w:ascii="Courier New" w:eastAsiaTheme="majorEastAsia" w:hAnsi="Courier New" w:cstheme="majorBidi"/>
      <w:b/>
      <w:bCs/>
      <w:sz w:val="20"/>
      <w:szCs w:val="28"/>
    </w:rPr>
  </w:style>
  <w:style w:type="paragraph" w:styleId="NoSpacing">
    <w:name w:val="No Spacing"/>
    <w:autoRedefine/>
    <w:uiPriority w:val="1"/>
    <w:qFormat/>
    <w:rsid w:val="003149B5"/>
    <w:pPr>
      <w:spacing w:after="0" w:line="240" w:lineRule="auto"/>
      <w:jc w:val="both"/>
    </w:pPr>
    <w:rPr>
      <w:sz w:val="18"/>
    </w:rPr>
  </w:style>
  <w:style w:type="paragraph" w:styleId="PlainText">
    <w:name w:val="Plain Text"/>
    <w:basedOn w:val="Normal"/>
    <w:link w:val="PlainTextChar"/>
    <w:uiPriority w:val="99"/>
    <w:unhideWhenUsed/>
    <w:rsid w:val="003149B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49B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762</Words>
  <Characters>4347</Characters>
  <Application>Microsoft Office Word</Application>
  <DocSecurity>0</DocSecurity>
  <Lines>36</Lines>
  <Paragraphs>10</Paragraphs>
  <ScaleCrop>false</ScaleCrop>
  <Company/>
  <LinksUpToDate>false</LinksUpToDate>
  <CharactersWithSpaces>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2012-08-15T18:23:00Z</dcterms:created>
  <dcterms:modified xsi:type="dcterms:W3CDTF">2012-08-15T18:23:00Z</dcterms:modified>
</cp:coreProperties>
</file>